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CA" w:rsidRDefault="00E95DCA" w:rsidP="00E95D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PUBLICATION SCHEME</w:t>
      </w:r>
    </w:p>
    <w:p w:rsidR="00C73FAD" w:rsidRPr="00C73FAD" w:rsidRDefault="00C73FAD" w:rsidP="00E95D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Based on model Publication Scheme issued by the Information Commissioner’s Office and updated to comply with the Openness of Local Government </w:t>
      </w:r>
      <w:r w:rsidR="005C36F6">
        <w:rPr>
          <w:i/>
          <w:sz w:val="28"/>
          <w:szCs w:val="28"/>
        </w:rPr>
        <w:t xml:space="preserve">Bodies </w:t>
      </w:r>
      <w:r>
        <w:rPr>
          <w:i/>
          <w:sz w:val="28"/>
          <w:szCs w:val="28"/>
        </w:rPr>
        <w:t>Regulations 2014</w:t>
      </w:r>
      <w:r w:rsidR="005C36F6">
        <w:rPr>
          <w:i/>
          <w:sz w:val="28"/>
          <w:szCs w:val="28"/>
        </w:rPr>
        <w:t xml:space="preserve"> and the Transparency Code for Smaller Authorities 2015</w:t>
      </w:r>
      <w:bookmarkStart w:id="0" w:name="_GoBack"/>
      <w:bookmarkEnd w:id="0"/>
    </w:p>
    <w:p w:rsidR="00A85814" w:rsidRDefault="00E95DCA" w:rsidP="00E95D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Information available from Draughton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4678"/>
        <w:gridCol w:w="1337"/>
      </w:tblGrid>
      <w:tr w:rsidR="00E95DCA" w:rsidTr="00E95DCA">
        <w:tc>
          <w:tcPr>
            <w:tcW w:w="7933" w:type="dxa"/>
          </w:tcPr>
          <w:p w:rsidR="00E95DCA" w:rsidRPr="00E95DCA" w:rsidRDefault="00E95DCA" w:rsidP="00E95D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TO BE PUBLISHED</w:t>
            </w:r>
          </w:p>
        </w:tc>
        <w:tc>
          <w:tcPr>
            <w:tcW w:w="4678" w:type="dxa"/>
          </w:tcPr>
          <w:p w:rsidR="00E95DCA" w:rsidRDefault="00E95DCA" w:rsidP="00E95DCA">
            <w:pPr>
              <w:rPr>
                <w:b/>
                <w:sz w:val="24"/>
                <w:szCs w:val="24"/>
              </w:rPr>
            </w:pPr>
            <w:r w:rsidRPr="00E95DCA">
              <w:rPr>
                <w:b/>
                <w:sz w:val="24"/>
                <w:szCs w:val="24"/>
              </w:rPr>
              <w:t>HOW THE INFORMATION CAN BE OBTAINED</w:t>
            </w:r>
          </w:p>
          <w:p w:rsidR="00100E0C" w:rsidRDefault="00100E0C" w:rsidP="00E95DC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Where reference to website is given, please visit</w:t>
            </w:r>
          </w:p>
          <w:p w:rsidR="00100E0C" w:rsidRPr="00100E0C" w:rsidRDefault="00100E0C" w:rsidP="00E95DC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www.draughton.org</w:t>
            </w:r>
          </w:p>
        </w:tc>
        <w:tc>
          <w:tcPr>
            <w:tcW w:w="1337" w:type="dxa"/>
          </w:tcPr>
          <w:p w:rsidR="00E95DCA" w:rsidRPr="004E1ADD" w:rsidRDefault="00E95DCA" w:rsidP="00E95DCA">
            <w:pPr>
              <w:rPr>
                <w:i/>
                <w:sz w:val="24"/>
                <w:szCs w:val="24"/>
              </w:rPr>
            </w:pPr>
            <w:r w:rsidRPr="00E95DCA">
              <w:rPr>
                <w:b/>
                <w:sz w:val="24"/>
                <w:szCs w:val="24"/>
              </w:rPr>
              <w:t>COST</w:t>
            </w:r>
            <w:r w:rsidR="004E1ADD">
              <w:rPr>
                <w:b/>
                <w:sz w:val="24"/>
                <w:szCs w:val="24"/>
              </w:rPr>
              <w:t xml:space="preserve"> – NIL </w:t>
            </w:r>
            <w:r w:rsidR="004E1ADD" w:rsidRPr="004E1ADD">
              <w:rPr>
                <w:i/>
                <w:sz w:val="18"/>
                <w:szCs w:val="18"/>
              </w:rPr>
              <w:t>unless otherwise stated in this column</w:t>
            </w:r>
          </w:p>
        </w:tc>
      </w:tr>
      <w:tr w:rsidR="00304F66" w:rsidTr="00E95DCA">
        <w:tc>
          <w:tcPr>
            <w:tcW w:w="7933" w:type="dxa"/>
          </w:tcPr>
          <w:p w:rsidR="00304F66" w:rsidRPr="0057508A" w:rsidRDefault="00304F66" w:rsidP="00304F6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508A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be current information only.</w:t>
            </w:r>
          </w:p>
          <w:p w:rsidR="00304F66" w:rsidRPr="00100E0C" w:rsidRDefault="00100E0C" w:rsidP="00100E0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</w: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Who’s who on the Council and its Committees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Location of main Council office and accessibility details</w:t>
            </w:r>
          </w:p>
        </w:tc>
        <w:tc>
          <w:tcPr>
            <w:tcW w:w="4678" w:type="dxa"/>
          </w:tcPr>
          <w:p w:rsidR="00304F66" w:rsidRDefault="00C73FAD" w:rsidP="00C7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from </w:t>
            </w:r>
            <w:r w:rsidR="00100E0C">
              <w:rPr>
                <w:sz w:val="24"/>
                <w:szCs w:val="24"/>
              </w:rPr>
              <w:t>the Clerk via the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from the Clerk via the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57508A" w:rsidRDefault="00304F66" w:rsidP="00304F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2 – What we spend and how we spend it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financial year as a minimum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9678B7" w:rsidRDefault="009678B7" w:rsidP="00304F66">
            <w:pPr>
              <w:rPr>
                <w:rFonts w:ascii="Verdana" w:hAnsi="Verdana" w:cs="Arial"/>
                <w:sz w:val="20"/>
                <w:szCs w:val="20"/>
              </w:rPr>
            </w:pPr>
            <w:r w:rsidRPr="009678B7">
              <w:rPr>
                <w:rFonts w:ascii="Verdana" w:hAnsi="Verdana" w:cs="Arial"/>
                <w:sz w:val="20"/>
                <w:szCs w:val="20"/>
              </w:rPr>
              <w:lastRenderedPageBreak/>
              <w:t>(A</w:t>
            </w:r>
            <w:r w:rsidR="00304F66" w:rsidRPr="009678B7">
              <w:rPr>
                <w:rFonts w:ascii="Verdana" w:hAnsi="Verdana" w:cs="Arial"/>
                <w:sz w:val="20"/>
                <w:szCs w:val="20"/>
              </w:rPr>
              <w:t xml:space="preserve">nnual return form and </w:t>
            </w:r>
            <w:r w:rsidRPr="009678B7">
              <w:rPr>
                <w:rFonts w:ascii="Verdana" w:hAnsi="Verdana" w:cs="Arial"/>
                <w:sz w:val="20"/>
                <w:szCs w:val="20"/>
              </w:rPr>
              <w:t xml:space="preserve">external audit </w:t>
            </w:r>
            <w:r w:rsidR="00304F66" w:rsidRPr="009678B7">
              <w:rPr>
                <w:rFonts w:ascii="Verdana" w:hAnsi="Verdana" w:cs="Arial"/>
                <w:sz w:val="20"/>
                <w:szCs w:val="20"/>
              </w:rPr>
              <w:t>report</w:t>
            </w:r>
            <w:r w:rsidRPr="009678B7">
              <w:rPr>
                <w:rFonts w:ascii="Verdana" w:hAnsi="Verdana" w:cs="Arial"/>
                <w:sz w:val="20"/>
                <w:szCs w:val="20"/>
              </w:rPr>
              <w:t>, as required 2014/15), then: end of year accounts, governance report and report of internal auditor</w:t>
            </w:r>
          </w:p>
        </w:tc>
        <w:tc>
          <w:tcPr>
            <w:tcW w:w="4678" w:type="dxa"/>
          </w:tcPr>
          <w:p w:rsidR="00304F66" w:rsidRPr="009678B7" w:rsidRDefault="00100E0C" w:rsidP="00304F66">
            <w:pPr>
              <w:rPr>
                <w:sz w:val="24"/>
                <w:szCs w:val="24"/>
              </w:rPr>
            </w:pPr>
            <w:r w:rsidRPr="009678B7">
              <w:rPr>
                <w:sz w:val="24"/>
                <w:szCs w:val="24"/>
              </w:rPr>
              <w:t>Noticeboards for statutory time period, then website</w:t>
            </w:r>
            <w:r w:rsidR="00C73FAD" w:rsidRPr="009678B7">
              <w:rPr>
                <w:sz w:val="24"/>
                <w:szCs w:val="24"/>
              </w:rPr>
              <w:t>; paper copy available from Clerk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 budget</w:t>
            </w:r>
          </w:p>
        </w:tc>
        <w:tc>
          <w:tcPr>
            <w:tcW w:w="4678" w:type="dxa"/>
          </w:tcPr>
          <w:p w:rsidR="00304F66" w:rsidRDefault="00D33FBC" w:rsidP="00D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on w</w:t>
            </w:r>
            <w:r w:rsidR="00100E0C">
              <w:rPr>
                <w:sz w:val="24"/>
                <w:szCs w:val="24"/>
              </w:rPr>
              <w:t>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</w:p>
        </w:tc>
        <w:tc>
          <w:tcPr>
            <w:tcW w:w="4678" w:type="dxa"/>
          </w:tcPr>
          <w:p w:rsidR="00304F66" w:rsidRDefault="00D33FBC" w:rsidP="00D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on w</w:t>
            </w:r>
            <w:r w:rsidR="00100E0C">
              <w:rPr>
                <w:sz w:val="24"/>
                <w:szCs w:val="24"/>
              </w:rPr>
              <w:t>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Borrowing Approval letter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Financial Standing Orders and Regulations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Grants given and received</w:t>
            </w: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r w:rsidR="00100E0C">
              <w:rPr>
                <w:sz w:val="24"/>
                <w:szCs w:val="24"/>
              </w:rPr>
              <w:t>Accounting Statements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List of current contracts awarded and value of contract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57508A" w:rsidRDefault="009678B7" w:rsidP="00304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financial transactions/expenditure items over £100</w:t>
            </w:r>
          </w:p>
        </w:tc>
        <w:tc>
          <w:tcPr>
            <w:tcW w:w="4678" w:type="dxa"/>
          </w:tcPr>
          <w:p w:rsidR="00304F66" w:rsidRDefault="009678B7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3 – What our priorities are and how we are doing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Parish Plan (current and previous year as a minimum)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Report to Parish or Community Meeting (current and previous year as a minimum)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="00C73FAD">
              <w:rPr>
                <w:sz w:val="24"/>
                <w:szCs w:val="24"/>
              </w:rPr>
              <w:t>; paper copy available from Clerk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Quality status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Local charters drawn up in accordance with DCLG guidelines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Timetable of meetings (Council and any committee/sub-committee meetings and parish meetings)</w:t>
            </w:r>
          </w:p>
        </w:tc>
        <w:tc>
          <w:tcPr>
            <w:tcW w:w="4678" w:type="dxa"/>
          </w:tcPr>
          <w:p w:rsidR="00304F66" w:rsidRDefault="00100E0C" w:rsidP="0010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Agendas of meetings (as above)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Noticeboards for statutory period of time and website post</w:t>
            </w:r>
            <w:r w:rsidR="00C73FAD">
              <w:rPr>
                <w:sz w:val="24"/>
                <w:szCs w:val="24"/>
              </w:rPr>
              <w:t>s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Minutes of meetings (as above) – </w:t>
            </w:r>
            <w:proofErr w:type="spellStart"/>
            <w:r w:rsidRPr="00BD5DAD">
              <w:rPr>
                <w:rFonts w:ascii="Verdana" w:hAnsi="Verdana" w:cs="Arial"/>
                <w:sz w:val="20"/>
                <w:szCs w:val="20"/>
              </w:rPr>
              <w:t>n.b.</w:t>
            </w:r>
            <w:proofErr w:type="spellEnd"/>
            <w:r w:rsidRPr="00BD5DAD">
              <w:rPr>
                <w:rFonts w:ascii="Verdana" w:hAnsi="Verdana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678" w:type="dxa"/>
          </w:tcPr>
          <w:p w:rsidR="00304F66" w:rsidRDefault="00100E0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 – </w:t>
            </w:r>
            <w:proofErr w:type="spellStart"/>
            <w:r w:rsidRPr="00BD5DAD">
              <w:rPr>
                <w:rFonts w:ascii="Verdana" w:hAnsi="Verdana" w:cs="Arial"/>
                <w:sz w:val="20"/>
                <w:szCs w:val="20"/>
              </w:rPr>
              <w:t>n.b.</w:t>
            </w:r>
            <w:proofErr w:type="spellEnd"/>
            <w:r w:rsidRPr="00BD5DAD">
              <w:rPr>
                <w:rFonts w:ascii="Verdana" w:hAnsi="Verdana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678" w:type="dxa"/>
          </w:tcPr>
          <w:p w:rsidR="00304F66" w:rsidRDefault="00D33FBC" w:rsidP="00D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on w</w:t>
            </w:r>
            <w:r w:rsidR="00100E0C">
              <w:rPr>
                <w:sz w:val="24"/>
                <w:szCs w:val="24"/>
              </w:rPr>
              <w:t>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Bye-laws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C73FAD" w:rsidP="00304F6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Record of delegated decisions</w:t>
            </w: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556F71" w:rsidTr="00E95DCA">
        <w:tc>
          <w:tcPr>
            <w:tcW w:w="7933" w:type="dxa"/>
          </w:tcPr>
          <w:p w:rsidR="00556F71" w:rsidRDefault="00556F71" w:rsidP="00304F6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Recordings of meetings</w:t>
            </w:r>
          </w:p>
        </w:tc>
        <w:tc>
          <w:tcPr>
            <w:tcW w:w="4678" w:type="dxa"/>
          </w:tcPr>
          <w:p w:rsidR="00556F71" w:rsidRDefault="00556F71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from Clerk, if ever applicable</w:t>
            </w:r>
          </w:p>
        </w:tc>
        <w:tc>
          <w:tcPr>
            <w:tcW w:w="1337" w:type="dxa"/>
          </w:tcPr>
          <w:p w:rsidR="00556F71" w:rsidRDefault="00556F71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5 – Our policies and procedures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Committee and sub-committee terms of reference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Delegated authority in respect of officers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Policy statements</w:t>
            </w:r>
            <w:r w:rsidR="007555CD">
              <w:rPr>
                <w:rFonts w:ascii="Verdana" w:hAnsi="Verdana" w:cs="Arial"/>
              </w:rPr>
              <w:t>, including policy for recording of meetings</w:t>
            </w:r>
          </w:p>
          <w:p w:rsidR="00304F66" w:rsidRPr="00BD5DAD" w:rsidRDefault="00304F66" w:rsidP="00304F66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="00C73FAD">
              <w:rPr>
                <w:sz w:val="24"/>
                <w:szCs w:val="24"/>
              </w:rPr>
              <w:t>, where applicable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the provision of services and about the employment of staff: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Internal instructions to staff and policies relating to the delivery of services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Equality and diversity policy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smartTag w:uri="urn:schemas-microsoft-com:office:smarttags" w:element="place">
              <w:r w:rsidRPr="00BD5DAD">
                <w:rPr>
                  <w:rFonts w:ascii="Verdana" w:hAnsi="Verdana" w:cs="Arial"/>
                </w:rPr>
                <w:t>Health</w:t>
              </w:r>
            </w:smartTag>
            <w:r w:rsidRPr="00BD5DAD">
              <w:rPr>
                <w:rFonts w:ascii="Verdana" w:hAnsi="Verdana" w:cs="Arial"/>
              </w:rPr>
              <w:t xml:space="preserve"> and safety policy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Recruitment policies (including current vacancies) 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Policies and procedures for handling requests for information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Complaints procedures (including those covering requests for information and operating the publication scheme) </w:t>
            </w:r>
          </w:p>
          <w:p w:rsidR="00304F66" w:rsidRPr="00BD5DAD" w:rsidRDefault="00304F66" w:rsidP="00304F66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Available from </w:t>
            </w:r>
            <w:r w:rsidR="00D33FBC">
              <w:rPr>
                <w:sz w:val="24"/>
                <w:szCs w:val="24"/>
              </w:rPr>
              <w:t>Clerk</w:t>
            </w:r>
            <w:r>
              <w:rPr>
                <w:sz w:val="24"/>
                <w:szCs w:val="24"/>
              </w:rPr>
              <w:t>, where applicable</w:t>
            </w: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</w:p>
          <w:p w:rsidR="00D33FBC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Information security policy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C73FAD">
              <w:rPr>
                <w:sz w:val="24"/>
                <w:szCs w:val="24"/>
              </w:rPr>
              <w:t xml:space="preserve"> Council complies with relevant legislation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Records management policies (records retention, destruction and archive)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C73FAD">
              <w:rPr>
                <w:sz w:val="24"/>
                <w:szCs w:val="24"/>
              </w:rPr>
              <w:t xml:space="preserve"> </w:t>
            </w:r>
            <w:r w:rsidR="00C73FAD">
              <w:rPr>
                <w:sz w:val="24"/>
                <w:szCs w:val="24"/>
              </w:rPr>
              <w:t>Council complies with relevant legislation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Data protection policies 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C73FAD">
              <w:rPr>
                <w:sz w:val="24"/>
                <w:szCs w:val="24"/>
              </w:rPr>
              <w:t xml:space="preserve"> </w:t>
            </w:r>
            <w:r w:rsidR="00C73FAD">
              <w:rPr>
                <w:sz w:val="24"/>
                <w:szCs w:val="24"/>
              </w:rPr>
              <w:t>Council complies with relevant legislation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Schedule of charges (for the publication of information)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57508A" w:rsidRDefault="00304F66" w:rsidP="00304F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6 – Lists and Registers</w:t>
            </w:r>
          </w:p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Any publicly available register or list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  <w:p w:rsidR="00556F71" w:rsidRPr="00BD5DAD" w:rsidRDefault="00556F71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Assets register</w:t>
            </w:r>
            <w:r w:rsidR="009678B7">
              <w:rPr>
                <w:rFonts w:ascii="Verdana" w:hAnsi="Verdana" w:cs="Arial"/>
              </w:rPr>
              <w:t>, including details of any land and building assets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Minutes of Annual Council Meeting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Disclosure log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C73FAD">
              <w:rPr>
                <w:sz w:val="24"/>
                <w:szCs w:val="24"/>
              </w:rPr>
              <w:t xml:space="preserve"> </w:t>
            </w:r>
            <w:r w:rsidR="00C73FAD">
              <w:rPr>
                <w:sz w:val="24"/>
                <w:szCs w:val="24"/>
              </w:rPr>
              <w:t>Council complies with relevant legislation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members’ interests</w:t>
            </w:r>
          </w:p>
          <w:p w:rsidR="00C73FAD" w:rsidRPr="00BD5DAD" w:rsidRDefault="00C73FAD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  <w:p w:rsidR="00C73FAD" w:rsidRPr="00BD5DAD" w:rsidRDefault="00C73FAD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from Clerk, if ever applicable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Default="00304F66" w:rsidP="00304F66">
            <w:pPr>
              <w:rPr>
                <w:rFonts w:ascii="Arial" w:hAnsi="Arial" w:cs="Arial"/>
              </w:rPr>
            </w:pPr>
          </w:p>
          <w:p w:rsidR="00C73FAD" w:rsidRPr="0057508A" w:rsidRDefault="00C73FAD" w:rsidP="00304F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7 – The services we offer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Allotments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Burial grounds and closed churchyards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Community centres and village halls</w:t>
            </w:r>
          </w:p>
        </w:tc>
        <w:tc>
          <w:tcPr>
            <w:tcW w:w="4678" w:type="dxa"/>
          </w:tcPr>
          <w:p w:rsidR="00304F66" w:rsidRDefault="00C73FAD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from Village Hall Committee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Parks, playing fields and recreational facilities</w:t>
            </w:r>
          </w:p>
        </w:tc>
        <w:tc>
          <w:tcPr>
            <w:tcW w:w="4678" w:type="dxa"/>
          </w:tcPr>
          <w:p w:rsidR="00304F66" w:rsidRDefault="00D33FBC" w:rsidP="00D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 on website</w:t>
            </w:r>
            <w:r w:rsidR="00C73FAD">
              <w:rPr>
                <w:sz w:val="24"/>
                <w:szCs w:val="24"/>
              </w:rPr>
              <w:t xml:space="preserve"> re village green, and information a</w:t>
            </w:r>
            <w:r w:rsidR="00C73FAD">
              <w:rPr>
                <w:sz w:val="24"/>
                <w:szCs w:val="24"/>
              </w:rPr>
              <w:t>vailable from Village Hall Committee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clocks, memorials and lighting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 and minutes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Bus shelters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 and minutes on website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Markets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Public conveniences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Agency agreements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Services for which the council is entitled to recover a fee, together with those fees (e.g. burial fees)</w:t>
            </w:r>
          </w:p>
        </w:tc>
        <w:tc>
          <w:tcPr>
            <w:tcW w:w="4678" w:type="dxa"/>
          </w:tcPr>
          <w:p w:rsidR="00304F66" w:rsidRDefault="00D33FBC" w:rsidP="0030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Additional Information</w:t>
            </w:r>
          </w:p>
          <w:p w:rsidR="00304F66" w:rsidRPr="00BD5DAD" w:rsidRDefault="00304F66" w:rsidP="00304F66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  <w:tr w:rsidR="00304F66" w:rsidTr="00E95DCA">
        <w:tc>
          <w:tcPr>
            <w:tcW w:w="7933" w:type="dxa"/>
          </w:tcPr>
          <w:p w:rsidR="00304F66" w:rsidRPr="00BD5DAD" w:rsidRDefault="00304F66" w:rsidP="00304F66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04F66" w:rsidRDefault="00304F66" w:rsidP="00304F66">
            <w:pPr>
              <w:rPr>
                <w:sz w:val="24"/>
                <w:szCs w:val="24"/>
              </w:rPr>
            </w:pPr>
          </w:p>
        </w:tc>
      </w:tr>
    </w:tbl>
    <w:p w:rsidR="00E95DCA" w:rsidRDefault="00DC262B" w:rsidP="00E95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details:</w:t>
      </w:r>
    </w:p>
    <w:p w:rsidR="00DC262B" w:rsidRDefault="00DC262B" w:rsidP="00E95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Jane Markham</w:t>
      </w:r>
    </w:p>
    <w:p w:rsidR="00DC262B" w:rsidRPr="00DC262B" w:rsidRDefault="00DC262B" w:rsidP="00E95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Clerk to the Council</w:t>
      </w:r>
    </w:p>
    <w:sectPr w:rsidR="00DC262B" w:rsidRPr="00DC262B" w:rsidSect="00E95D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A"/>
    <w:rsid w:val="00100E0C"/>
    <w:rsid w:val="00304F66"/>
    <w:rsid w:val="004E1ADD"/>
    <w:rsid w:val="00556F71"/>
    <w:rsid w:val="005C36F6"/>
    <w:rsid w:val="007555CD"/>
    <w:rsid w:val="009678B7"/>
    <w:rsid w:val="00A85814"/>
    <w:rsid w:val="00C73FAD"/>
    <w:rsid w:val="00D33FBC"/>
    <w:rsid w:val="00DC262B"/>
    <w:rsid w:val="00E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5187-7217-464C-AE67-5AFD5E7F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8</cp:revision>
  <dcterms:created xsi:type="dcterms:W3CDTF">2015-02-17T10:48:00Z</dcterms:created>
  <dcterms:modified xsi:type="dcterms:W3CDTF">2015-04-01T13:49:00Z</dcterms:modified>
</cp:coreProperties>
</file>